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3BBF62" w14:textId="77777777" w:rsidR="007F4DA9" w:rsidRPr="003156C1" w:rsidRDefault="007F4DA9">
      <w:pPr>
        <w:rPr>
          <w:rFonts w:ascii="Tahoma" w:hAnsi="Tahoma" w:cs="Tahoma"/>
          <w:b/>
          <w:bCs/>
          <w:color w:val="76923C" w:themeColor="accent3" w:themeShade="BF"/>
          <w:sz w:val="48"/>
          <w:szCs w:val="48"/>
          <w:lang w:bidi="ar-JO"/>
        </w:rPr>
      </w:pPr>
    </w:p>
    <w:p w14:paraId="2B29F595" w14:textId="77777777" w:rsidR="006E3AD9" w:rsidRPr="003156C1" w:rsidRDefault="006E3AD9" w:rsidP="006E3AD9">
      <w:pPr>
        <w:spacing w:after="0" w:line="240" w:lineRule="auto"/>
        <w:jc w:val="center"/>
        <w:rPr>
          <w:rFonts w:ascii="Tahoma" w:hAnsi="Tahoma" w:cs="Tahoma"/>
          <w:b/>
          <w:bCs/>
          <w:color w:val="76923C" w:themeColor="accent3" w:themeShade="BF"/>
          <w:sz w:val="48"/>
          <w:szCs w:val="48"/>
          <w:lang w:bidi="ar-JO"/>
        </w:rPr>
      </w:pPr>
      <w:r w:rsidRPr="003156C1">
        <w:rPr>
          <w:rFonts w:ascii="Tahoma" w:eastAsia="Times New Roman" w:hAnsi="Tahoma" w:cs="Tahoma"/>
          <w:b/>
          <w:bCs/>
          <w:color w:val="76923C" w:themeColor="accent3" w:themeShade="BF"/>
          <w:sz w:val="48"/>
          <w:szCs w:val="48"/>
          <w:rtl/>
        </w:rPr>
        <w:t>الأطفال المحرومون</w:t>
      </w:r>
    </w:p>
    <w:p w14:paraId="582C1542" w14:textId="6F8CA869" w:rsidR="006E3AD9" w:rsidRPr="003156C1" w:rsidRDefault="006E3AD9" w:rsidP="00D6414B">
      <w:pPr>
        <w:spacing w:after="0" w:line="240" w:lineRule="auto"/>
        <w:jc w:val="center"/>
        <w:rPr>
          <w:rFonts w:ascii="Tahoma" w:eastAsia="Times New Roman" w:hAnsi="Tahoma" w:cs="Tahoma"/>
          <w:color w:val="76923C" w:themeColor="accent3" w:themeShade="BF"/>
          <w:sz w:val="48"/>
          <w:szCs w:val="48"/>
          <w:rtl/>
        </w:rPr>
      </w:pPr>
      <w:r w:rsidRPr="003156C1">
        <w:rPr>
          <w:rFonts w:ascii="Tahoma" w:eastAsia="Times New Roman" w:hAnsi="Tahoma" w:cs="Tahoma"/>
          <w:color w:val="76923C" w:themeColor="accent3" w:themeShade="BF"/>
          <w:sz w:val="48"/>
          <w:szCs w:val="48"/>
        </w:rPr>
        <w:t>Disadvantaged Children</w:t>
      </w:r>
    </w:p>
    <w:p w14:paraId="14CBF542" w14:textId="5E0D23F7" w:rsidR="00D6414B" w:rsidRPr="00A01D2A" w:rsidRDefault="00D6414B" w:rsidP="00D6414B">
      <w:pPr>
        <w:bidi/>
        <w:spacing w:after="0" w:line="240" w:lineRule="auto"/>
        <w:jc w:val="center"/>
        <w:rPr>
          <w:rFonts w:ascii="Tahoma" w:hAnsi="Tahoma" w:cs="Tahoma"/>
          <w:sz w:val="24"/>
          <w:szCs w:val="24"/>
        </w:rPr>
      </w:pPr>
      <w:r w:rsidRPr="00A01D2A">
        <w:rPr>
          <w:rFonts w:ascii="Tahoma" w:hAnsi="Tahoma" w:cs="Tahoma"/>
          <w:sz w:val="24"/>
          <w:szCs w:val="24"/>
          <w:rtl/>
        </w:rPr>
        <w:t>أ.د. جمال الخطيب</w:t>
      </w:r>
    </w:p>
    <w:p w14:paraId="4BA931C1" w14:textId="77777777" w:rsidR="004C56AD" w:rsidRPr="007E5AD3" w:rsidRDefault="004C56AD" w:rsidP="006E3AD9">
      <w:pPr>
        <w:spacing w:after="0" w:line="240" w:lineRule="auto"/>
        <w:jc w:val="center"/>
        <w:rPr>
          <w:rFonts w:ascii="Tahoma" w:eastAsia="Times New Roman" w:hAnsi="Tahoma" w:cs="Tahoma"/>
          <w:b/>
          <w:bCs/>
          <w:sz w:val="28"/>
          <w:szCs w:val="28"/>
          <w:rtl/>
        </w:rPr>
      </w:pPr>
    </w:p>
    <w:p w14:paraId="24F5E391" w14:textId="484497DA" w:rsidR="008D00E7" w:rsidRDefault="006E3AD9" w:rsidP="008D00E7">
      <w:pPr>
        <w:pStyle w:val="HTMLPreformatted"/>
        <w:shd w:val="clear" w:color="auto" w:fill="F8F9FA"/>
        <w:bidi/>
        <w:jc w:val="both"/>
        <w:rPr>
          <w:rFonts w:ascii="Tahoma" w:eastAsia="Times New Roman" w:hAnsi="Tahoma" w:cs="Tahoma"/>
          <w:b/>
          <w:bCs/>
          <w:color w:val="1F1F1F"/>
          <w:sz w:val="28"/>
          <w:szCs w:val="28"/>
          <w:rtl/>
          <w:lang w:bidi="ar"/>
        </w:rPr>
      </w:pPr>
      <w:r w:rsidRPr="008D00E7">
        <w:rPr>
          <w:rFonts w:ascii="Tahoma" w:eastAsia="Times New Roman" w:hAnsi="Tahoma" w:cs="Tahoma"/>
          <w:b/>
          <w:bCs/>
          <w:color w:val="202124"/>
          <w:sz w:val="28"/>
          <w:szCs w:val="28"/>
          <w:rtl/>
          <w:lang w:bidi="ar"/>
        </w:rPr>
        <w:t xml:space="preserve">يشير مصطلح "الأطفال المحرومون" إلى الأطفال الذين </w:t>
      </w:r>
      <w:r w:rsidR="008D00E7" w:rsidRPr="008D00E7">
        <w:rPr>
          <w:rFonts w:ascii="Tahoma" w:eastAsia="Times New Roman" w:hAnsi="Tahoma" w:cs="Tahoma"/>
          <w:b/>
          <w:bCs/>
          <w:color w:val="1F1F1F"/>
          <w:sz w:val="28"/>
          <w:szCs w:val="28"/>
          <w:rtl/>
          <w:lang w:bidi="ar"/>
        </w:rPr>
        <w:t xml:space="preserve">يواجهون عوائق كبيرة، كالفقر ونقص الموارد، والإقصاء الاجتماعي، والإعاقة، مما يعيق نموهم ويضعف فرصهم في تلقي خدمات صحية وتعليمية جيدة مقارنة بأقرانهم. وقد تنجم هذه المعوقات عن عوامل متعددة، مثل انخفاض دخل الأسرة، والموقع الجغرافي، والانتماء إلى فئات مهمشة. </w:t>
      </w:r>
    </w:p>
    <w:p w14:paraId="0A82644F" w14:textId="77777777" w:rsidR="008D00E7" w:rsidRPr="008D00E7" w:rsidRDefault="008D00E7" w:rsidP="008D00E7">
      <w:pPr>
        <w:pStyle w:val="HTMLPreformatted"/>
        <w:shd w:val="clear" w:color="auto" w:fill="F8F9FA"/>
        <w:bidi/>
        <w:jc w:val="both"/>
        <w:rPr>
          <w:rFonts w:ascii="Tahoma" w:eastAsia="Times New Roman" w:hAnsi="Tahoma" w:cs="Tahoma"/>
          <w:b/>
          <w:bCs/>
          <w:color w:val="1F1F1F"/>
          <w:sz w:val="28"/>
          <w:szCs w:val="28"/>
          <w:lang w:bidi="ar"/>
        </w:rPr>
      </w:pPr>
    </w:p>
    <w:p w14:paraId="2E385A8C" w14:textId="1491B0AF" w:rsidR="006E3AD9" w:rsidRPr="002E3EF0" w:rsidRDefault="008D00E7" w:rsidP="002255F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rPr>
      </w:pPr>
      <w:r>
        <w:rPr>
          <w:rFonts w:ascii="Tahoma" w:eastAsia="Times New Roman" w:hAnsi="Tahoma" w:cs="Tahoma" w:hint="cs"/>
          <w:b/>
          <w:bCs/>
          <w:color w:val="202124"/>
          <w:sz w:val="28"/>
          <w:szCs w:val="28"/>
          <w:rtl/>
          <w:lang w:bidi="ar"/>
        </w:rPr>
        <w:t>و</w:t>
      </w:r>
      <w:r w:rsidR="006E3AD9" w:rsidRPr="002E3EF0">
        <w:rPr>
          <w:rFonts w:ascii="Tahoma" w:eastAsia="Times New Roman" w:hAnsi="Tahoma" w:cs="Tahoma"/>
          <w:b/>
          <w:bCs/>
          <w:color w:val="202124"/>
          <w:sz w:val="28"/>
          <w:szCs w:val="28"/>
          <w:rtl/>
          <w:lang w:bidi="ar"/>
        </w:rPr>
        <w:t xml:space="preserve">بدون مرافق وخدمات </w:t>
      </w:r>
      <w:r>
        <w:rPr>
          <w:rFonts w:ascii="Tahoma" w:eastAsia="Times New Roman" w:hAnsi="Tahoma" w:cs="Tahoma" w:hint="cs"/>
          <w:b/>
          <w:bCs/>
          <w:color w:val="202124"/>
          <w:sz w:val="28"/>
          <w:szCs w:val="28"/>
          <w:rtl/>
          <w:lang w:bidi="ar"/>
        </w:rPr>
        <w:t xml:space="preserve">إضافية أو </w:t>
      </w:r>
      <w:r w:rsidR="006E3AD9" w:rsidRPr="002E3EF0">
        <w:rPr>
          <w:rFonts w:ascii="Tahoma" w:eastAsia="Times New Roman" w:hAnsi="Tahoma" w:cs="Tahoma"/>
          <w:b/>
          <w:bCs/>
          <w:color w:val="202124"/>
          <w:sz w:val="28"/>
          <w:szCs w:val="28"/>
          <w:rtl/>
          <w:lang w:bidi="ar"/>
        </w:rPr>
        <w:t>تكميلية</w:t>
      </w:r>
      <w:r>
        <w:rPr>
          <w:rFonts w:ascii="Tahoma" w:eastAsia="Times New Roman" w:hAnsi="Tahoma" w:cs="Tahoma" w:hint="cs"/>
          <w:b/>
          <w:bCs/>
          <w:color w:val="202124"/>
          <w:sz w:val="28"/>
          <w:szCs w:val="28"/>
          <w:rtl/>
          <w:lang w:bidi="ar"/>
        </w:rPr>
        <w:t>، قد لا يتمكن هؤلاء الأطفال</w:t>
      </w:r>
      <w:r w:rsidR="006E3AD9" w:rsidRPr="002E3EF0">
        <w:rPr>
          <w:rFonts w:ascii="Tahoma" w:eastAsia="Times New Roman" w:hAnsi="Tahoma" w:cs="Tahoma"/>
          <w:b/>
          <w:bCs/>
          <w:color w:val="202124"/>
          <w:sz w:val="28"/>
          <w:szCs w:val="28"/>
          <w:rtl/>
          <w:lang w:bidi="ar"/>
        </w:rPr>
        <w:t xml:space="preserve"> </w:t>
      </w:r>
      <w:r>
        <w:rPr>
          <w:rFonts w:ascii="Tahoma" w:eastAsia="Times New Roman" w:hAnsi="Tahoma" w:cs="Tahoma" w:hint="cs"/>
          <w:b/>
          <w:bCs/>
          <w:color w:val="202124"/>
          <w:sz w:val="28"/>
          <w:szCs w:val="28"/>
          <w:rtl/>
          <w:lang w:bidi="ar"/>
        </w:rPr>
        <w:t>من</w:t>
      </w:r>
      <w:r w:rsidR="006E3AD9" w:rsidRPr="002E3EF0">
        <w:rPr>
          <w:rFonts w:ascii="Tahoma" w:eastAsia="Times New Roman" w:hAnsi="Tahoma" w:cs="Tahoma"/>
          <w:b/>
          <w:bCs/>
          <w:color w:val="202124"/>
          <w:sz w:val="28"/>
          <w:szCs w:val="28"/>
          <w:rtl/>
          <w:lang w:bidi="ar"/>
        </w:rPr>
        <w:t xml:space="preserve"> الاستفادة من البرنامج المدرسي العادي بنفس القدر مثل الأطفال ذوي الخلفيات العادية. </w:t>
      </w:r>
      <w:r>
        <w:rPr>
          <w:rFonts w:ascii="Tahoma" w:eastAsia="Times New Roman" w:hAnsi="Tahoma" w:cs="Tahoma" w:hint="cs"/>
          <w:b/>
          <w:bCs/>
          <w:color w:val="202124"/>
          <w:sz w:val="28"/>
          <w:szCs w:val="28"/>
          <w:rtl/>
          <w:lang w:bidi="ar"/>
        </w:rPr>
        <w:t>ف</w:t>
      </w:r>
      <w:r w:rsidR="006E3AD9" w:rsidRPr="002E3EF0">
        <w:rPr>
          <w:rFonts w:ascii="Tahoma" w:eastAsia="Times New Roman" w:hAnsi="Tahoma" w:cs="Tahoma"/>
          <w:b/>
          <w:bCs/>
          <w:color w:val="202124"/>
          <w:sz w:val="28"/>
          <w:szCs w:val="28"/>
          <w:rtl/>
          <w:lang w:bidi="ar"/>
        </w:rPr>
        <w:t xml:space="preserve">هؤلاء الأطفال </w:t>
      </w:r>
      <w:r w:rsidR="006E3AD9" w:rsidRPr="002E3EF0">
        <w:rPr>
          <w:rFonts w:ascii="Tahoma" w:eastAsia="Times New Roman" w:hAnsi="Tahoma" w:cs="Tahoma"/>
          <w:b/>
          <w:bCs/>
          <w:sz w:val="28"/>
          <w:szCs w:val="28"/>
          <w:rtl/>
        </w:rPr>
        <w:t>تنقصهم المصادر اللازمة للتمتع بفرص متساوية مع تلك المتوافرة لل</w:t>
      </w:r>
      <w:r w:rsidR="006E3AD9" w:rsidRPr="002E3EF0">
        <w:rPr>
          <w:rFonts w:ascii="Tahoma" w:eastAsia="Times New Roman" w:hAnsi="Tahoma" w:cs="Tahoma"/>
          <w:b/>
          <w:bCs/>
          <w:sz w:val="28"/>
          <w:szCs w:val="28"/>
          <w:rtl/>
          <w:lang w:bidi="ar-JO"/>
        </w:rPr>
        <w:t>أطفال</w:t>
      </w:r>
      <w:r w:rsidR="006E3AD9" w:rsidRPr="002E3EF0">
        <w:rPr>
          <w:rFonts w:ascii="Tahoma" w:eastAsia="Times New Roman" w:hAnsi="Tahoma" w:cs="Tahoma"/>
          <w:b/>
          <w:bCs/>
          <w:sz w:val="28"/>
          <w:szCs w:val="28"/>
          <w:rtl/>
        </w:rPr>
        <w:t xml:space="preserve"> </w:t>
      </w:r>
      <w:r>
        <w:rPr>
          <w:rFonts w:ascii="Tahoma" w:eastAsia="Times New Roman" w:hAnsi="Tahoma" w:cs="Tahoma" w:hint="cs"/>
          <w:b/>
          <w:bCs/>
          <w:sz w:val="28"/>
          <w:szCs w:val="28"/>
          <w:rtl/>
        </w:rPr>
        <w:t>الآخرين فهم</w:t>
      </w:r>
      <w:r w:rsidR="006E3AD9" w:rsidRPr="002E3EF0">
        <w:rPr>
          <w:rFonts w:ascii="Tahoma" w:eastAsia="Times New Roman" w:hAnsi="Tahoma" w:cs="Tahoma"/>
          <w:b/>
          <w:bCs/>
          <w:sz w:val="28"/>
          <w:szCs w:val="28"/>
          <w:rtl/>
        </w:rPr>
        <w:t xml:space="preserve"> ينتمون إلى أسر </w:t>
      </w:r>
      <w:r>
        <w:rPr>
          <w:rFonts w:ascii="Tahoma" w:eastAsia="Times New Roman" w:hAnsi="Tahoma" w:cs="Tahoma" w:hint="cs"/>
          <w:b/>
          <w:bCs/>
          <w:sz w:val="28"/>
          <w:szCs w:val="28"/>
          <w:rtl/>
        </w:rPr>
        <w:t>قد تكون حياتها</w:t>
      </w:r>
      <w:r w:rsidR="006E3AD9" w:rsidRPr="002E3EF0">
        <w:rPr>
          <w:rFonts w:ascii="Tahoma" w:eastAsia="Times New Roman" w:hAnsi="Tahoma" w:cs="Tahoma"/>
          <w:b/>
          <w:bCs/>
          <w:sz w:val="28"/>
          <w:szCs w:val="28"/>
          <w:rtl/>
        </w:rPr>
        <w:t xml:space="preserve"> مضطربة، و</w:t>
      </w:r>
      <w:r>
        <w:rPr>
          <w:rFonts w:ascii="Tahoma" w:eastAsia="Times New Roman" w:hAnsi="Tahoma" w:cs="Tahoma" w:hint="cs"/>
          <w:b/>
          <w:bCs/>
          <w:sz w:val="28"/>
          <w:szCs w:val="28"/>
          <w:rtl/>
        </w:rPr>
        <w:t>تتسم ب</w:t>
      </w:r>
      <w:r w:rsidR="006E3AD9" w:rsidRPr="002E3EF0">
        <w:rPr>
          <w:rFonts w:ascii="Tahoma" w:eastAsia="Times New Roman" w:hAnsi="Tahoma" w:cs="Tahoma"/>
          <w:b/>
          <w:bCs/>
          <w:sz w:val="28"/>
          <w:szCs w:val="28"/>
          <w:rtl/>
        </w:rPr>
        <w:t>نقص الإ</w:t>
      </w:r>
      <w:r>
        <w:rPr>
          <w:rFonts w:ascii="Tahoma" w:eastAsia="Times New Roman" w:hAnsi="Tahoma" w:cs="Tahoma" w:hint="cs"/>
          <w:b/>
          <w:bCs/>
          <w:sz w:val="28"/>
          <w:szCs w:val="28"/>
          <w:rtl/>
        </w:rPr>
        <w:t>ست</w:t>
      </w:r>
      <w:r w:rsidR="006E3AD9" w:rsidRPr="002E3EF0">
        <w:rPr>
          <w:rFonts w:ascii="Tahoma" w:eastAsia="Times New Roman" w:hAnsi="Tahoma" w:cs="Tahoma"/>
          <w:b/>
          <w:bCs/>
          <w:sz w:val="28"/>
          <w:szCs w:val="28"/>
          <w:rtl/>
        </w:rPr>
        <w:t xml:space="preserve">ثارة والخبرات الحياتية اليومية. وقد تتفاعل جملة العوامل هذه فيما بينها محدثة تأثيراً سلبياً على النمو المعرفي للفرد، وعلى قدرته على تلبية متطلبات الحياة المدرسية والاجتماعية. وقد بينت الدراسات أن حوالي 80% من الإعاقات العقلية هي نتاج ظروف أسرية وثقافية صعبة. وتأكيداً على الدور الحاسم للظروف البيئية في الطفولة المبكرة على وجه التحديد، بادرت عدة دول، ومنذ عدة عقود، إلى تنفيذ ما عرف باسم برامج </w:t>
      </w:r>
      <w:r w:rsidR="006E3AD9" w:rsidRPr="002E3EF0">
        <w:rPr>
          <w:rFonts w:ascii="Tahoma" w:eastAsia="Times New Roman" w:hAnsi="Tahoma" w:cs="Tahoma"/>
          <w:b/>
          <w:bCs/>
          <w:sz w:val="28"/>
          <w:szCs w:val="28"/>
          <w:rtl/>
          <w:lang w:bidi="ar-JO"/>
        </w:rPr>
        <w:t>ا</w:t>
      </w:r>
      <w:r w:rsidR="006E3AD9" w:rsidRPr="002E3EF0">
        <w:rPr>
          <w:rFonts w:ascii="Tahoma" w:eastAsia="Times New Roman" w:hAnsi="Tahoma" w:cs="Tahoma"/>
          <w:b/>
          <w:bCs/>
          <w:sz w:val="28"/>
          <w:szCs w:val="28"/>
          <w:rtl/>
        </w:rPr>
        <w:t>ستثارة الأطفال الرضع (</w:t>
      </w:r>
      <w:r w:rsidR="006E3AD9" w:rsidRPr="002E3EF0">
        <w:rPr>
          <w:rFonts w:ascii="Tahoma" w:eastAsia="Times New Roman" w:hAnsi="Tahoma" w:cs="Tahoma"/>
          <w:b/>
          <w:bCs/>
          <w:sz w:val="28"/>
          <w:szCs w:val="28"/>
        </w:rPr>
        <w:t>Infant Stimulation Programs</w:t>
      </w:r>
      <w:r w:rsidR="006E3AD9" w:rsidRPr="002E3EF0">
        <w:rPr>
          <w:rFonts w:ascii="Tahoma" w:eastAsia="Times New Roman" w:hAnsi="Tahoma" w:cs="Tahoma"/>
          <w:b/>
          <w:bCs/>
          <w:sz w:val="28"/>
          <w:szCs w:val="28"/>
          <w:rtl/>
        </w:rPr>
        <w:t xml:space="preserve">) بهدف تطوير المظاهر النمائية الإدراكية، واللغوية، والسلوكية لدى الأطفال </w:t>
      </w:r>
      <w:r w:rsidR="002255F3" w:rsidRPr="002E3EF0">
        <w:rPr>
          <w:rFonts w:ascii="Tahoma" w:eastAsia="Times New Roman" w:hAnsi="Tahoma" w:cs="Tahoma"/>
          <w:b/>
          <w:bCs/>
          <w:sz w:val="28"/>
          <w:szCs w:val="28"/>
          <w:rtl/>
        </w:rPr>
        <w:t xml:space="preserve">المحرومين أو </w:t>
      </w:r>
      <w:r w:rsidR="006E3AD9" w:rsidRPr="002E3EF0">
        <w:rPr>
          <w:rFonts w:ascii="Tahoma" w:eastAsia="Times New Roman" w:hAnsi="Tahoma" w:cs="Tahoma"/>
          <w:b/>
          <w:bCs/>
          <w:sz w:val="28"/>
          <w:szCs w:val="28"/>
          <w:rtl/>
        </w:rPr>
        <w:t xml:space="preserve">الأقل حظاً بوصفهم أطفالاً </w:t>
      </w:r>
      <w:r w:rsidR="002255F3" w:rsidRPr="002E3EF0">
        <w:rPr>
          <w:rFonts w:ascii="Tahoma" w:eastAsia="Times New Roman" w:hAnsi="Tahoma" w:cs="Tahoma"/>
          <w:b/>
          <w:bCs/>
          <w:sz w:val="28"/>
          <w:szCs w:val="28"/>
          <w:rtl/>
        </w:rPr>
        <w:t>في خطر</w:t>
      </w:r>
      <w:r w:rsidR="006E3AD9" w:rsidRPr="002E3EF0">
        <w:rPr>
          <w:rFonts w:ascii="Tahoma" w:eastAsia="Times New Roman" w:hAnsi="Tahoma" w:cs="Tahoma"/>
          <w:b/>
          <w:bCs/>
          <w:sz w:val="28"/>
          <w:szCs w:val="28"/>
          <w:rtl/>
        </w:rPr>
        <w:t>.</w:t>
      </w:r>
    </w:p>
    <w:p w14:paraId="42F670F8" w14:textId="77777777" w:rsidR="000C0788" w:rsidRPr="002E3EF0" w:rsidRDefault="000C0788" w:rsidP="000C078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rPr>
      </w:pPr>
    </w:p>
    <w:p w14:paraId="0358B835" w14:textId="77777777" w:rsidR="000C0788" w:rsidRPr="002E3EF0" w:rsidRDefault="000C0788" w:rsidP="000C078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2E3EF0">
        <w:rPr>
          <w:rFonts w:ascii="Tahoma" w:eastAsia="Times New Roman" w:hAnsi="Tahoma" w:cs="Tahoma"/>
          <w:b/>
          <w:bCs/>
          <w:color w:val="202124"/>
          <w:sz w:val="28"/>
          <w:szCs w:val="28"/>
          <w:rtl/>
          <w:lang w:bidi="ar"/>
        </w:rPr>
        <w:t>والأطفال ذوو الإعاقة من بين الأطفال الأكثر حرمانا وتهميشا في كل المجتمعات. فهناك مجموعة من الحواجز التي تحد من قدرتهم على الأداء في الحياة اليومية، والحصول على الخدمات الاجتماعية (مثل التعليم والرعاية الصحية) والمشاركة في مجتمعاتهم. وتشمل هذه الحواجز:</w:t>
      </w:r>
    </w:p>
    <w:p w14:paraId="7D9F821F" w14:textId="77777777" w:rsidR="000C0788" w:rsidRPr="002E3EF0" w:rsidRDefault="000C0788" w:rsidP="000C0788">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lang w:bidi="ar"/>
        </w:rPr>
      </w:pPr>
      <w:r w:rsidRPr="002E3EF0">
        <w:rPr>
          <w:rFonts w:ascii="Tahoma" w:eastAsia="Times New Roman" w:hAnsi="Tahoma" w:cs="Tahoma"/>
          <w:b/>
          <w:bCs/>
          <w:color w:val="202124"/>
          <w:sz w:val="28"/>
          <w:szCs w:val="28"/>
          <w:rtl/>
          <w:lang w:bidi="ar"/>
        </w:rPr>
        <w:t>الحواجز المادية، مثل المباني ووسائل النقل والملاعب ودورات المياه التي لا يمكن لمستخدمي الكراسي المتحركة الوصول إليها.</w:t>
      </w:r>
    </w:p>
    <w:p w14:paraId="6B4FDA4B" w14:textId="77777777" w:rsidR="000C0788" w:rsidRPr="002E3EF0" w:rsidRDefault="000C0788" w:rsidP="000C0788">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lang w:bidi="ar"/>
        </w:rPr>
      </w:pPr>
      <w:r w:rsidRPr="002E3EF0">
        <w:rPr>
          <w:rFonts w:ascii="Tahoma" w:eastAsia="Times New Roman" w:hAnsi="Tahoma" w:cs="Tahoma"/>
          <w:b/>
          <w:bCs/>
          <w:color w:val="202124"/>
          <w:sz w:val="28"/>
          <w:szCs w:val="28"/>
          <w:rtl/>
          <w:lang w:bidi="ar"/>
        </w:rPr>
        <w:t>عوائق التواصل والمعلومات - مثل الكتب المدرسية غير المتوفرة بطريقة برايل، أو إعلانات الصحة العامة التي يتم نشرها دون ترجمة لغة الإشارة.</w:t>
      </w:r>
    </w:p>
    <w:p w14:paraId="717652F9" w14:textId="77777777" w:rsidR="000C0788" w:rsidRPr="002E3EF0" w:rsidRDefault="000C0788" w:rsidP="000C0788">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2E3EF0">
        <w:rPr>
          <w:rFonts w:ascii="Tahoma" w:eastAsia="Times New Roman" w:hAnsi="Tahoma" w:cs="Tahoma"/>
          <w:b/>
          <w:bCs/>
          <w:color w:val="202124"/>
          <w:sz w:val="28"/>
          <w:szCs w:val="28"/>
          <w:rtl/>
          <w:lang w:bidi="ar"/>
        </w:rPr>
        <w:t>الحواجز السلوكية - مثل الصور النمطية، والتوقعات المنخفضة، والشفقة، والتعالي، والمضايقة، والتنمر.</w:t>
      </w:r>
    </w:p>
    <w:p w14:paraId="635A11AB" w14:textId="77777777" w:rsidR="000C0788" w:rsidRPr="002E3EF0" w:rsidRDefault="000C0788" w:rsidP="000C078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p>
    <w:p w14:paraId="5D5A7D8E" w14:textId="0225B045" w:rsidR="000C0788" w:rsidRPr="002E3EF0" w:rsidRDefault="000C0788" w:rsidP="00D6414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2E3EF0">
        <w:rPr>
          <w:rFonts w:ascii="Tahoma" w:eastAsia="Times New Roman" w:hAnsi="Tahoma" w:cs="Tahoma"/>
          <w:b/>
          <w:bCs/>
          <w:color w:val="202124"/>
          <w:sz w:val="28"/>
          <w:szCs w:val="28"/>
          <w:rtl/>
          <w:lang w:bidi="ar"/>
        </w:rPr>
        <w:t>كل هذه العوامل متجذرة في الوصمة والتمييز الذين يعكسان التصورات السلبية للإعاقة ويقللان من قيمة الأشخاص ذوي الإعاقة. ويواجه بعض الأطفال ذوي الإعاقة أشكالاً أخرى من التمييز تؤدي إلى تفاقم حرمانهم. في جميع أنحاء العالم، هذا هو الحال خاصة بالنسبة للفتيات؛ والأطفال الفقراء، أو السود، أو السكان الأصليين، وأولئك الذين ينتمون إلى الأقليات العرقية أو مجتمعات المهاجرين أو غيرها من الفئات المهمشة. ويواجه الأطفال ذوو الإعاقات الشديدة أو المتعددة أيضًا صعوبة خاصة في تلبية احتياجاتهم.</w:t>
      </w:r>
    </w:p>
    <w:p w14:paraId="738F9A75" w14:textId="77777777" w:rsidR="006E3AD9" w:rsidRPr="002E3EF0" w:rsidRDefault="006E3AD9" w:rsidP="006E3AD9">
      <w:pPr>
        <w:bidi/>
        <w:spacing w:after="0" w:line="240" w:lineRule="auto"/>
        <w:jc w:val="both"/>
        <w:rPr>
          <w:rFonts w:asciiTheme="minorBidi" w:eastAsia="Times New Roman" w:hAnsiTheme="minorBidi"/>
          <w:sz w:val="28"/>
          <w:szCs w:val="28"/>
          <w:rtl/>
        </w:rPr>
      </w:pPr>
    </w:p>
    <w:p w14:paraId="67256D97" w14:textId="77777777" w:rsidR="006E3AD9" w:rsidRPr="002E3EF0" w:rsidRDefault="006E3AD9" w:rsidP="002E3EF0">
      <w:pPr>
        <w:bidi/>
        <w:spacing w:after="0" w:line="240" w:lineRule="auto"/>
        <w:jc w:val="both"/>
        <w:rPr>
          <w:rFonts w:ascii="Tahoma" w:eastAsia="Times New Roman" w:hAnsi="Tahoma" w:cs="Tahoma"/>
          <w:b/>
          <w:bCs/>
          <w:sz w:val="24"/>
          <w:szCs w:val="24"/>
          <w:rtl/>
        </w:rPr>
      </w:pPr>
      <w:r w:rsidRPr="002E3EF0">
        <w:rPr>
          <w:rFonts w:ascii="Tahoma" w:eastAsia="Times New Roman" w:hAnsi="Tahoma" w:cs="Tahoma"/>
          <w:b/>
          <w:bCs/>
          <w:sz w:val="24"/>
          <w:szCs w:val="24"/>
          <w:rtl/>
        </w:rPr>
        <w:t>المصادر</w:t>
      </w:r>
    </w:p>
    <w:p w14:paraId="21EA3A0F" w14:textId="77777777" w:rsidR="006E3AD9" w:rsidRPr="002E3EF0" w:rsidRDefault="006E3AD9" w:rsidP="002E3EF0">
      <w:pPr>
        <w:bidi/>
        <w:spacing w:after="0" w:line="240" w:lineRule="auto"/>
        <w:jc w:val="both"/>
        <w:rPr>
          <w:rFonts w:ascii="Tahoma" w:eastAsia="Times New Roman" w:hAnsi="Tahoma" w:cs="Tahoma"/>
          <w:sz w:val="24"/>
          <w:szCs w:val="24"/>
          <w:rtl/>
        </w:rPr>
      </w:pPr>
    </w:p>
    <w:p w14:paraId="31C2231F" w14:textId="77777777" w:rsidR="006E3AD9" w:rsidRPr="002E3EF0" w:rsidRDefault="006E3AD9" w:rsidP="002E3EF0">
      <w:pPr>
        <w:bidi/>
        <w:spacing w:after="0" w:line="240" w:lineRule="auto"/>
        <w:jc w:val="both"/>
        <w:rPr>
          <w:rFonts w:ascii="Tahoma" w:eastAsia="Times New Roman" w:hAnsi="Tahoma" w:cs="Tahoma"/>
          <w:sz w:val="24"/>
          <w:szCs w:val="24"/>
          <w:rtl/>
          <w:lang w:bidi="ar-JO"/>
        </w:rPr>
      </w:pPr>
      <w:r w:rsidRPr="002E3EF0">
        <w:rPr>
          <w:rFonts w:ascii="Tahoma" w:eastAsia="Times New Roman" w:hAnsi="Tahoma" w:cs="Tahoma"/>
          <w:sz w:val="24"/>
          <w:szCs w:val="24"/>
          <w:rtl/>
          <w:lang w:bidi="ar-JO"/>
        </w:rPr>
        <w:t>المك</w:t>
      </w:r>
      <w:bookmarkStart w:id="0" w:name="_GoBack"/>
      <w:bookmarkEnd w:id="0"/>
      <w:r w:rsidRPr="002E3EF0">
        <w:rPr>
          <w:rFonts w:ascii="Tahoma" w:eastAsia="Times New Roman" w:hAnsi="Tahoma" w:cs="Tahoma"/>
          <w:sz w:val="24"/>
          <w:szCs w:val="24"/>
          <w:rtl/>
          <w:lang w:bidi="ar-JO"/>
        </w:rPr>
        <w:t>تب التنفيذي (2001). الدليل الموحد لمصطلحات الإعاقة والتربية الخاصة والتأهيل. المشرف العلمي: جمال الخطيب. المنامة: مملكة البحرين.</w:t>
      </w:r>
    </w:p>
    <w:p w14:paraId="7FCA35A6" w14:textId="77777777" w:rsidR="006E3AD9" w:rsidRPr="002E3EF0" w:rsidRDefault="006E3AD9" w:rsidP="002E3EF0">
      <w:pPr>
        <w:bidi/>
        <w:spacing w:after="0" w:line="240" w:lineRule="auto"/>
        <w:jc w:val="both"/>
        <w:rPr>
          <w:rFonts w:ascii="Tahoma" w:eastAsia="Times New Roman" w:hAnsi="Tahoma" w:cs="Tahoma"/>
          <w:sz w:val="24"/>
          <w:szCs w:val="24"/>
          <w:rtl/>
          <w:lang w:bidi="ar-JO"/>
        </w:rPr>
      </w:pPr>
    </w:p>
    <w:p w14:paraId="0B7915E6" w14:textId="77777777" w:rsidR="006E3AD9" w:rsidRPr="002E3EF0" w:rsidRDefault="006E3AD9" w:rsidP="002E3EF0">
      <w:pPr>
        <w:spacing w:after="0" w:line="240" w:lineRule="auto"/>
        <w:jc w:val="both"/>
        <w:rPr>
          <w:rFonts w:ascii="Tahoma" w:eastAsia="Times New Roman" w:hAnsi="Tahoma" w:cs="Tahoma"/>
          <w:sz w:val="24"/>
          <w:szCs w:val="24"/>
          <w:lang w:bidi="ar-JO"/>
        </w:rPr>
      </w:pPr>
      <w:r w:rsidRPr="002E3EF0">
        <w:rPr>
          <w:rFonts w:ascii="Tahoma" w:eastAsia="Times New Roman" w:hAnsi="Tahoma" w:cs="Tahoma"/>
          <w:sz w:val="24"/>
          <w:szCs w:val="24"/>
          <w:lang w:bidi="ar-JO"/>
        </w:rPr>
        <w:t xml:space="preserve">OECD (2022). </w:t>
      </w:r>
      <w:r w:rsidRPr="002E3EF0">
        <w:rPr>
          <w:rFonts w:ascii="Tahoma" w:eastAsia="Times New Roman" w:hAnsi="Tahoma" w:cs="Tahoma"/>
          <w:i/>
          <w:iCs/>
          <w:sz w:val="24"/>
          <w:szCs w:val="24"/>
          <w:lang w:bidi="ar-JO"/>
        </w:rPr>
        <w:t>Starting unequal</w:t>
      </w:r>
      <w:r w:rsidRPr="002E3EF0">
        <w:rPr>
          <w:rFonts w:ascii="Tahoma" w:eastAsia="Times New Roman" w:hAnsi="Tahoma" w:cs="Tahoma"/>
          <w:sz w:val="24"/>
          <w:szCs w:val="24"/>
          <w:lang w:bidi="ar-JO"/>
        </w:rPr>
        <w:t xml:space="preserve">. </w:t>
      </w:r>
      <w:hyperlink r:id="rId5" w:history="1">
        <w:r w:rsidRPr="002E3EF0">
          <w:rPr>
            <w:rStyle w:val="Hyperlink"/>
            <w:rFonts w:ascii="Tahoma" w:eastAsia="Times New Roman" w:hAnsi="Tahoma" w:cs="Tahoma"/>
            <w:color w:val="auto"/>
            <w:sz w:val="24"/>
            <w:szCs w:val="24"/>
            <w:u w:val="none"/>
            <w:lang w:bidi="ar-JO"/>
          </w:rPr>
          <w:t>https://www.oecd.org/publications/starting-unequal-a0ec330c-en.htm</w:t>
        </w:r>
      </w:hyperlink>
    </w:p>
    <w:p w14:paraId="3F49BDF2" w14:textId="77777777" w:rsidR="006E3AD9" w:rsidRPr="002E3EF0" w:rsidRDefault="006E3AD9" w:rsidP="002E3EF0">
      <w:pPr>
        <w:spacing w:after="0" w:line="240" w:lineRule="auto"/>
        <w:rPr>
          <w:rFonts w:ascii="Tahoma" w:hAnsi="Tahoma" w:cs="Tahoma"/>
          <w:sz w:val="24"/>
          <w:szCs w:val="24"/>
          <w:rtl/>
        </w:rPr>
      </w:pPr>
    </w:p>
    <w:p w14:paraId="0B08B8E5" w14:textId="77777777" w:rsidR="004D3AD5" w:rsidRPr="002E3EF0" w:rsidRDefault="004D3AD5" w:rsidP="002E3EF0">
      <w:pPr>
        <w:pStyle w:val="Heading1"/>
        <w:spacing w:before="0" w:line="240" w:lineRule="auto"/>
        <w:jc w:val="both"/>
        <w:rPr>
          <w:rFonts w:ascii="Tahoma" w:eastAsia="Times New Roman" w:hAnsi="Tahoma" w:cs="Tahoma"/>
          <w:b w:val="0"/>
          <w:bCs w:val="0"/>
          <w:color w:val="auto"/>
          <w:kern w:val="36"/>
          <w:sz w:val="24"/>
          <w:szCs w:val="24"/>
        </w:rPr>
      </w:pPr>
      <w:r w:rsidRPr="002E3EF0">
        <w:rPr>
          <w:rFonts w:ascii="Tahoma" w:hAnsi="Tahoma" w:cs="Tahoma"/>
          <w:b w:val="0"/>
          <w:bCs w:val="0"/>
          <w:color w:val="auto"/>
          <w:sz w:val="24"/>
          <w:szCs w:val="24"/>
        </w:rPr>
        <w:t xml:space="preserve">UNICEF (n.d.). </w:t>
      </w:r>
      <w:r w:rsidRPr="002E3EF0">
        <w:rPr>
          <w:rFonts w:ascii="Tahoma" w:eastAsia="Times New Roman" w:hAnsi="Tahoma" w:cs="Tahoma"/>
          <w:b w:val="0"/>
          <w:bCs w:val="0"/>
          <w:i/>
          <w:iCs/>
          <w:color w:val="auto"/>
          <w:kern w:val="36"/>
          <w:sz w:val="24"/>
          <w:szCs w:val="24"/>
        </w:rPr>
        <w:t>Children with disabilities</w:t>
      </w:r>
      <w:r w:rsidRPr="002E3EF0">
        <w:rPr>
          <w:rFonts w:ascii="Tahoma" w:eastAsia="Times New Roman" w:hAnsi="Tahoma" w:cs="Tahoma"/>
          <w:b w:val="0"/>
          <w:bCs w:val="0"/>
          <w:color w:val="auto"/>
          <w:kern w:val="36"/>
          <w:sz w:val="24"/>
          <w:szCs w:val="24"/>
        </w:rPr>
        <w:t>. https://www.unicef.org/disabilities</w:t>
      </w:r>
    </w:p>
    <w:p w14:paraId="68A9E3B5" w14:textId="77777777" w:rsidR="00C27B67" w:rsidRPr="002E3EF0" w:rsidRDefault="00C27B67" w:rsidP="002E3EF0">
      <w:pPr>
        <w:spacing w:after="0" w:line="240" w:lineRule="auto"/>
        <w:rPr>
          <w:rFonts w:ascii="Tahoma" w:hAnsi="Tahoma" w:cs="Tahoma"/>
          <w:sz w:val="24"/>
          <w:szCs w:val="24"/>
        </w:rPr>
      </w:pPr>
    </w:p>
    <w:sectPr w:rsidR="00C27B67" w:rsidRPr="002E3E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E103B"/>
    <w:multiLevelType w:val="hybridMultilevel"/>
    <w:tmpl w:val="DAA23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E3AD9"/>
    <w:rsid w:val="000C0788"/>
    <w:rsid w:val="001A0050"/>
    <w:rsid w:val="002255F3"/>
    <w:rsid w:val="002E3EF0"/>
    <w:rsid w:val="002F797B"/>
    <w:rsid w:val="003156C1"/>
    <w:rsid w:val="004C56AD"/>
    <w:rsid w:val="004D3AD5"/>
    <w:rsid w:val="006E3AD9"/>
    <w:rsid w:val="007E5AD3"/>
    <w:rsid w:val="007F4DA9"/>
    <w:rsid w:val="008D00E7"/>
    <w:rsid w:val="008E0FE7"/>
    <w:rsid w:val="00967F93"/>
    <w:rsid w:val="009946D3"/>
    <w:rsid w:val="009F1589"/>
    <w:rsid w:val="00C27B67"/>
    <w:rsid w:val="00D6414B"/>
    <w:rsid w:val="00E17FDD"/>
    <w:rsid w:val="00F67EA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957FD"/>
  <w15:docId w15:val="{7C838081-0296-48C0-85B0-CEFD79834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3AD9"/>
  </w:style>
  <w:style w:type="paragraph" w:styleId="Heading1">
    <w:name w:val="heading 1"/>
    <w:basedOn w:val="Normal"/>
    <w:next w:val="Normal"/>
    <w:link w:val="Heading1Char"/>
    <w:uiPriority w:val="9"/>
    <w:qFormat/>
    <w:rsid w:val="004D3A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E3AD9"/>
    <w:rPr>
      <w:color w:val="0000FF" w:themeColor="hyperlink"/>
      <w:u w:val="single"/>
    </w:rPr>
  </w:style>
  <w:style w:type="paragraph" w:styleId="ListParagraph">
    <w:name w:val="List Paragraph"/>
    <w:basedOn w:val="Normal"/>
    <w:uiPriority w:val="34"/>
    <w:qFormat/>
    <w:rsid w:val="000C0788"/>
    <w:pPr>
      <w:ind w:left="720"/>
      <w:contextualSpacing/>
    </w:pPr>
  </w:style>
  <w:style w:type="character" w:customStyle="1" w:styleId="Heading1Char">
    <w:name w:val="Heading 1 Char"/>
    <w:basedOn w:val="DefaultParagraphFont"/>
    <w:link w:val="Heading1"/>
    <w:uiPriority w:val="9"/>
    <w:rsid w:val="004D3AD5"/>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2F79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797B"/>
    <w:rPr>
      <w:rFonts w:ascii="Tahoma" w:hAnsi="Tahoma" w:cs="Tahoma"/>
      <w:sz w:val="16"/>
      <w:szCs w:val="16"/>
    </w:rPr>
  </w:style>
  <w:style w:type="paragraph" w:styleId="HTMLPreformatted">
    <w:name w:val="HTML Preformatted"/>
    <w:basedOn w:val="Normal"/>
    <w:link w:val="HTMLPreformattedChar"/>
    <w:uiPriority w:val="99"/>
    <w:semiHidden/>
    <w:unhideWhenUsed/>
    <w:rsid w:val="008D00E7"/>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8D00E7"/>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2765908">
      <w:bodyDiv w:val="1"/>
      <w:marLeft w:val="0"/>
      <w:marRight w:val="0"/>
      <w:marTop w:val="0"/>
      <w:marBottom w:val="0"/>
      <w:divBdr>
        <w:top w:val="none" w:sz="0" w:space="0" w:color="auto"/>
        <w:left w:val="none" w:sz="0" w:space="0" w:color="auto"/>
        <w:bottom w:val="none" w:sz="0" w:space="0" w:color="auto"/>
        <w:right w:val="none" w:sz="0" w:space="0" w:color="auto"/>
      </w:divBdr>
    </w:div>
    <w:div w:id="292299063">
      <w:bodyDiv w:val="1"/>
      <w:marLeft w:val="0"/>
      <w:marRight w:val="0"/>
      <w:marTop w:val="0"/>
      <w:marBottom w:val="0"/>
      <w:divBdr>
        <w:top w:val="none" w:sz="0" w:space="0" w:color="auto"/>
        <w:left w:val="none" w:sz="0" w:space="0" w:color="auto"/>
        <w:bottom w:val="none" w:sz="0" w:space="0" w:color="auto"/>
        <w:right w:val="none" w:sz="0" w:space="0" w:color="auto"/>
      </w:divBdr>
    </w:div>
    <w:div w:id="520706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oecd.org/publications/starting-unequal-a0ec330c-en.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405</Words>
  <Characters>2309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18</cp:revision>
  <cp:lastPrinted>2025-12-16T17:46:00Z</cp:lastPrinted>
  <dcterms:created xsi:type="dcterms:W3CDTF">2024-02-03T05:23:00Z</dcterms:created>
  <dcterms:modified xsi:type="dcterms:W3CDTF">2025-12-19T15:32:00Z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09dafc61-45e6-4112-9586-3592a5d4d914</vt:lpwstr>
  </property>
</Properties>
</file>